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F2" w:rsidRDefault="002715F2" w:rsidP="002715F2">
      <w:r>
        <w:t>Ordenanza Nº</w:t>
      </w:r>
      <w:r>
        <w:tab/>
        <w:t>8235</w:t>
      </w:r>
    </w:p>
    <w:p w:rsidR="002715F2" w:rsidRDefault="002715F2" w:rsidP="002715F2">
      <w:r>
        <w:t>Tema:</w:t>
      </w:r>
      <w:r>
        <w:tab/>
      </w:r>
    </w:p>
    <w:p w:rsidR="002715F2" w:rsidRDefault="002715F2" w:rsidP="002715F2">
      <w:r>
        <w:t>Fecha:</w:t>
      </w:r>
      <w:r>
        <w:tab/>
        <w:t>19/06/2012</w:t>
      </w:r>
    </w:p>
    <w:p w:rsidR="002715F2" w:rsidRDefault="002715F2" w:rsidP="002715F2">
      <w:r>
        <w:t>Expediente:</w:t>
      </w:r>
      <w:r>
        <w:tab/>
        <w:t>14379</w:t>
      </w:r>
    </w:p>
    <w:p w:rsidR="002715F2" w:rsidRDefault="002715F2" w:rsidP="002715F2">
      <w:r>
        <w:t>Relaciones:</w:t>
      </w:r>
      <w:r>
        <w:tab/>
      </w:r>
    </w:p>
    <w:p w:rsidR="002715F2" w:rsidRDefault="002715F2" w:rsidP="002715F2">
      <w:r>
        <w:t>Observaciones:</w:t>
      </w:r>
      <w:r>
        <w:tab/>
      </w:r>
    </w:p>
    <w:p w:rsidR="002715F2" w:rsidRDefault="002715F2" w:rsidP="002715F2">
      <w:r>
        <w:t>Texto completo:</w:t>
      </w:r>
      <w:r>
        <w:tab/>
        <w:t xml:space="preserve"> 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ORDENANZA 8235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CORRESPONDE EXPTE. Nº 14379/12-HCD; 7552/12-D.E.-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San Nicolás de los Arroyos, 15 de Junio de 2012.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Al Señor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Intendente Municipal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Dr. ISMAEL JOSE PASSAGLIA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S / D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De nuestra mayor consideración: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 xml:space="preserve">Tenemos el agrado de dirigirnos a Ud. a efectos de comunicarle que este Honorable Cuerpo, en su </w:t>
      </w: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SESION ORDINARIA </w:t>
      </w:r>
      <w:r>
        <w:rPr>
          <w:rFonts w:ascii="ArialMT" w:hAnsi="ArialMT" w:cs="ArialMT"/>
          <w:color w:val="333333"/>
          <w:sz w:val="18"/>
          <w:szCs w:val="18"/>
        </w:rPr>
        <w:t>del día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14 de Junio de 2012 sancionó la siguiente: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O R D E N A N Z A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TÍTULO I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DE LA RESERVA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2715F2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Denominación</w:t>
      </w:r>
    </w:p>
    <w:p w:rsidR="002715F2" w:rsidRP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ARTICULO 1º: </w:t>
      </w:r>
      <w:r>
        <w:rPr>
          <w:rFonts w:ascii="ArialMT" w:hAnsi="ArialMT" w:cs="ArialMT"/>
          <w:color w:val="333333"/>
          <w:sz w:val="18"/>
          <w:szCs w:val="18"/>
        </w:rPr>
        <w:t>A partir de la sanción de la presente ordenanza, denomínese a la reserva natural de San Nicolás con el nombre de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"Parque Rafael de Aguiar - Área Natural Protegida Municipal".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</w:p>
    <w:p w:rsidR="002715F2" w:rsidRP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2715F2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Conformación y Límites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ARTICULO 2º</w:t>
      </w:r>
      <w:r>
        <w:rPr>
          <w:rFonts w:ascii="ArialMT" w:hAnsi="ArialMT" w:cs="ArialMT"/>
          <w:color w:val="333333"/>
          <w:sz w:val="18"/>
          <w:szCs w:val="18"/>
        </w:rPr>
        <w:t>: El territorio del Parque comprende los terrenos situados desde el borde del camino costanero superior, incluyendo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 xml:space="preserve">la barranca, y hasta el Arroyo Yaguarón, desde calle Luis </w:t>
      </w:r>
      <w:proofErr w:type="spellStart"/>
      <w:r>
        <w:rPr>
          <w:rFonts w:ascii="ArialMT" w:hAnsi="ArialMT" w:cs="ArialMT"/>
          <w:color w:val="333333"/>
          <w:sz w:val="18"/>
          <w:szCs w:val="18"/>
        </w:rPr>
        <w:t>Viale</w:t>
      </w:r>
      <w:proofErr w:type="spellEnd"/>
      <w:r>
        <w:rPr>
          <w:rFonts w:ascii="ArialMT" w:hAnsi="ArialMT" w:cs="ArialMT"/>
          <w:color w:val="333333"/>
          <w:sz w:val="18"/>
          <w:szCs w:val="18"/>
        </w:rPr>
        <w:t xml:space="preserve"> hasta calle Luisa de Núñez, identificados catastralmente como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Circunscripción XI Sección J Parcelas 1668a, 1669a, 1669d, 1670a, 1670d y 2265, más la isla situada entre el cauce principal del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río Paraná Guazú y el Arroyo Yaguarón, denominada Isla Ballesteros e identificada catastralmente como Islas Fracción I Sección VI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Parcelas 1, 2 y 3 (ver plano catastral anexo).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2715F2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Objetivos</w:t>
      </w:r>
    </w:p>
    <w:p w:rsidR="002715F2" w:rsidRP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ARTICULO 3º: </w:t>
      </w:r>
      <w:r>
        <w:rPr>
          <w:rFonts w:ascii="ArialMT" w:hAnsi="ArialMT" w:cs="ArialMT"/>
          <w:color w:val="333333"/>
          <w:sz w:val="18"/>
          <w:szCs w:val="18"/>
        </w:rPr>
        <w:t>El objetivo general para la gestión del área protegida es conservar el patrimonio ambiental del Parque R</w:t>
      </w:r>
      <w:r>
        <w:rPr>
          <w:rFonts w:ascii="ArialMT" w:hAnsi="ArialMT" w:cs="ArialMT"/>
          <w:color w:val="333333"/>
          <w:sz w:val="18"/>
          <w:szCs w:val="18"/>
        </w:rPr>
        <w:t xml:space="preserve">afael </w:t>
      </w:r>
      <w:r>
        <w:rPr>
          <w:rFonts w:ascii="ArialMT" w:hAnsi="ArialMT" w:cs="ArialMT"/>
          <w:color w:val="333333"/>
          <w:sz w:val="18"/>
          <w:szCs w:val="18"/>
        </w:rPr>
        <w:t>de Aguiar.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En cuanto a las áreas temáticas de incumbencia de la gestión, los objetivos generales son: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Área de conservación: Conservar los ecosistemas, la geomorfología, la biodiversidad y los componentes culturales tradicionales.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Área de gestión: Garantizar que se cumplan los objetivos del Parque Aguiar.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Área de educación: Poner en valor el patrimonio ambiental y fomentar la apropiación (como bien común) del Parque Aguiar, a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través de actividades educativas formales y no formales.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Área de investigación: Promover la investigación científica y la difusión de sus resultados acerca de los componentes naturales y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culturales del área protegida y su contexto.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lastRenderedPageBreak/>
        <w:t>Área de recreación y turismo: Lograr que el Parque Aguiar sea incorporado en la oferta recreativa local, y considerado como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valioso recurso turístico de la ciudad.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TÍTULO II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DE LOS USOS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</w:rPr>
      </w:pPr>
    </w:p>
    <w:p w:rsidR="002715F2" w:rsidRP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2715F2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Zonificación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ARTICULO 4º: </w:t>
      </w:r>
      <w:r>
        <w:rPr>
          <w:rFonts w:ascii="ArialMT" w:hAnsi="ArialMT" w:cs="ArialMT"/>
          <w:color w:val="333333"/>
          <w:sz w:val="18"/>
          <w:szCs w:val="18"/>
        </w:rPr>
        <w:t xml:space="preserve">Dentro del área protegida se establecen tres tipos de zonas y, en uno de los casos, </w:t>
      </w:r>
      <w:proofErr w:type="spellStart"/>
      <w:r>
        <w:rPr>
          <w:rFonts w:ascii="ArialMT" w:hAnsi="ArialMT" w:cs="ArialMT"/>
          <w:color w:val="333333"/>
          <w:sz w:val="18"/>
          <w:szCs w:val="18"/>
        </w:rPr>
        <w:t>subzonas</w:t>
      </w:r>
      <w:proofErr w:type="spellEnd"/>
      <w:r>
        <w:rPr>
          <w:rFonts w:ascii="ArialMT" w:hAnsi="ArialMT" w:cs="ArialMT"/>
          <w:color w:val="333333"/>
          <w:sz w:val="18"/>
          <w:szCs w:val="18"/>
        </w:rPr>
        <w:t>. Las mismas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 xml:space="preserve">son: zona intangible, zona de uso público, zona de recuperación. Dentro de la zona de uso público se encuentran las </w:t>
      </w:r>
      <w:proofErr w:type="spellStart"/>
      <w:r>
        <w:rPr>
          <w:rFonts w:ascii="ArialMT" w:hAnsi="ArialMT" w:cs="ArialMT"/>
          <w:color w:val="333333"/>
          <w:sz w:val="18"/>
          <w:szCs w:val="18"/>
        </w:rPr>
        <w:t>subzonas</w:t>
      </w:r>
      <w:proofErr w:type="spellEnd"/>
      <w:r>
        <w:rPr>
          <w:rFonts w:ascii="ArialMT" w:hAnsi="ArialMT" w:cs="ArialMT"/>
          <w:color w:val="333333"/>
          <w:sz w:val="18"/>
          <w:szCs w:val="18"/>
        </w:rPr>
        <w:t xml:space="preserve"> de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uso intensivo y extensivo y, dentro de esta última, la de uso extensivo especial. Se contempla por fuera del área protegida la</w:t>
      </w:r>
      <w:r>
        <w:rPr>
          <w:rFonts w:ascii="ArialMT" w:hAnsi="ArialMT" w:cs="ArialMT"/>
          <w:color w:val="333333"/>
          <w:sz w:val="18"/>
          <w:szCs w:val="18"/>
        </w:rPr>
        <w:t xml:space="preserve"> denominada zona de a</w:t>
      </w:r>
      <w:r>
        <w:rPr>
          <w:rFonts w:ascii="ArialMT" w:hAnsi="ArialMT" w:cs="ArialMT"/>
          <w:color w:val="333333"/>
          <w:sz w:val="18"/>
          <w:szCs w:val="18"/>
        </w:rPr>
        <w:t>mortiguación.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 xml:space="preserve">La ubicación de las zonas y </w:t>
      </w:r>
      <w:proofErr w:type="spellStart"/>
      <w:r>
        <w:rPr>
          <w:rFonts w:ascii="ArialMT" w:hAnsi="ArialMT" w:cs="ArialMT"/>
          <w:color w:val="333333"/>
          <w:sz w:val="18"/>
          <w:szCs w:val="18"/>
        </w:rPr>
        <w:t>subzonas</w:t>
      </w:r>
      <w:proofErr w:type="spellEnd"/>
      <w:r>
        <w:rPr>
          <w:rFonts w:ascii="ArialMT" w:hAnsi="ArialMT" w:cs="ArialMT"/>
          <w:color w:val="333333"/>
          <w:sz w:val="18"/>
          <w:szCs w:val="18"/>
        </w:rPr>
        <w:t xml:space="preserve"> se indica en el mapa obrante como anexo I de la presente y se describen seguidamente.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Zona Intangible: </w:t>
      </w:r>
      <w:r>
        <w:rPr>
          <w:rFonts w:ascii="ArialMT" w:hAnsi="ArialMT" w:cs="ArialMT"/>
          <w:color w:val="333333"/>
          <w:sz w:val="18"/>
          <w:szCs w:val="18"/>
        </w:rPr>
        <w:t>es la zona de manejo dedicada a la conservación. Es la que implica mayores restricciones al uso, ya que su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objetivo es proteger las áreas de mayor importancia para su conservación. Puede ser utilizada para fines científicos, investigación y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 xml:space="preserve">educación, no admitiéndose actividades destructivas o </w:t>
      </w:r>
      <w:proofErr w:type="spellStart"/>
      <w:r>
        <w:rPr>
          <w:rFonts w:ascii="ArialMT" w:hAnsi="ArialMT" w:cs="ArialMT"/>
          <w:color w:val="333333"/>
          <w:sz w:val="18"/>
          <w:szCs w:val="18"/>
        </w:rPr>
        <w:t>deteriorantes</w:t>
      </w:r>
      <w:proofErr w:type="spellEnd"/>
      <w:r>
        <w:rPr>
          <w:rFonts w:ascii="ArialMT" w:hAnsi="ArialMT" w:cs="ArialMT"/>
          <w:color w:val="333333"/>
          <w:sz w:val="18"/>
          <w:szCs w:val="18"/>
        </w:rPr>
        <w:t>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Zona de uso público extensivo</w:t>
      </w:r>
      <w:r>
        <w:rPr>
          <w:rFonts w:ascii="ArialMT" w:hAnsi="ArialMT" w:cs="ArialMT"/>
          <w:color w:val="333333"/>
          <w:sz w:val="18"/>
          <w:szCs w:val="18"/>
        </w:rPr>
        <w:t>: es la zona de manejo que admite usos de bajo impacto que impliquen mínimas modificaciones de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las características naturales del área, pudiendo estar dotada de accesos y ciertos servicios públicos. Es una zona para desarrollar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actividades de investigación, educativas y recreativas de bajo impacto con la finalidad de generar un acercamiento de los visitantes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al patrimonio ambiental del Parque.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Zona de uso público extensivo especial</w:t>
      </w:r>
      <w:r>
        <w:rPr>
          <w:rFonts w:ascii="ArialMT" w:hAnsi="ArialMT" w:cs="ArialMT"/>
          <w:color w:val="333333"/>
          <w:sz w:val="18"/>
          <w:szCs w:val="18"/>
        </w:rPr>
        <w:t>: es la zona de manejo que implica niveles intermedios a altos de modificación ambiental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relacionados con la instalación de infraestructura y/o el establecimiento de asentamientos humanos que desarrollan actividades no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siempre acordes a los objetivos de conservación del área protegida.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Zona de uso público intensivo</w:t>
      </w:r>
      <w:r>
        <w:rPr>
          <w:rFonts w:ascii="ArialMT" w:hAnsi="ArialMT" w:cs="ArialMT"/>
          <w:color w:val="333333"/>
          <w:sz w:val="18"/>
          <w:szCs w:val="18"/>
        </w:rPr>
        <w:t>: es la zona de manejo de extensión reducida, donde se admiten grados intermedios a altos de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modificación de las características naturales. Su objetivo principal es la recreación y actúa como zona de recepción, es estratégica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en cuanto al control del ingreso y de la conducta de los visitantes, al igual que para la atención de los mismos. Se puede utilizar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para actividades de esparcimiento, recreativas, de educación ambiental, deportivas, etc., y para la instalación de infraestructura y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servicios.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Zona de recuperación</w:t>
      </w:r>
      <w:r>
        <w:rPr>
          <w:rFonts w:ascii="ArialMT" w:hAnsi="ArialMT" w:cs="ArialMT"/>
          <w:color w:val="333333"/>
          <w:sz w:val="18"/>
          <w:szCs w:val="18"/>
        </w:rPr>
        <w:t>: es la zona destinada a tareas de control y manejo, para recuperar los ambientes degradados y disminuir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procesos de erosión, colmatación, contaminación y de invasión de especies exóticas.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Zona de amortiguación: </w:t>
      </w:r>
      <w:r>
        <w:rPr>
          <w:rFonts w:ascii="ArialMT" w:hAnsi="ArialMT" w:cs="ArialMT"/>
          <w:color w:val="333333"/>
          <w:sz w:val="18"/>
          <w:szCs w:val="18"/>
        </w:rPr>
        <w:t>es la zona que comprende las áreas adyacentes a los límites del área protegida, conformando espacios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de transición entre las zonas protegidas y el entorno. Su establecimiento intenta minimizar las repercusiones de las actividades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humanas que se realizan en los territorios inmediatos.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2715F2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Usos permitidos</w:t>
      </w:r>
    </w:p>
    <w:p w:rsidR="002715F2" w:rsidRPr="002715F2" w:rsidRDefault="002715F2" w:rsidP="002715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ARTICULO 5º: </w:t>
      </w:r>
      <w:r>
        <w:rPr>
          <w:rFonts w:ascii="ArialMT" w:hAnsi="ArialMT" w:cs="ArialMT"/>
          <w:color w:val="333333"/>
          <w:sz w:val="18"/>
          <w:szCs w:val="18"/>
        </w:rPr>
        <w:t>Dentro del área protegida, más allá de las restricciones generales establecidas por otros instrumentos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legales, se establecen a continuación las actividades, que se pueden realizar o no, discriminadas por tipo de zona según lo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establecido en el artículo 3º.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a- Zona intangible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Se permite sólo el ingreso de personal autorizado y para los fines específicos de la zona, debiendo hacer un uso controlado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de los caminos preexistentes.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Señalizar y delimitar adecuadamente estas zonas en particular, por su importancia para la conservación.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Eliminación y/o control de las especies exóticas invasoras.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Retiro de la basura existente haciendo una limpieza periódica, con adecuadas técnicas de conservación, especialmente en</w:t>
      </w:r>
      <w:r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la barranca.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No se permite la presencia de moradores en estas zonas.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No se permite ninguna clase de actividad extractiva (ni suelo, ni flora ni fauna nativas).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No se permite la presencia de ganado ni animales domésticos, erradicando gradualmente los preexistentes.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Evaluación periódica del estado de conservación de estas zonas.</w:t>
      </w:r>
    </w:p>
    <w:p w:rsidR="007A7688" w:rsidRDefault="007A7688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7A7688" w:rsidRDefault="007A7688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lastRenderedPageBreak/>
        <w:t>b- Zona de uso público extensivo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Se controlará la circulación de vehículos en caminos preexistentes.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Se controlará la circulación de vehículos motorizados en el tramo del camino entre el remanso del Yaguarón y la bajada de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la prolongación de la calle Paraguay (ZUE-1).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Se permite la circulación a baja velocidad en el sector del camino de La Horqueta entre el arenal de La Horqueta y la zona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de uso intensivo (ZUI-3).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No se permite ninguna clase de actividad extractiva (ni suelo, ni flora ni fauna nativas).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Se debe informar previamente a los visitantes de la zona de islas (ZUE-5) acerca de las pautas de uso de estos sectores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(lugares de actividades posibles, el retiro de los residuos generados, el recorrido de los senderos habilitados, recomendaciones en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caso de encender fuego, etc.). Esto podría realizarse en colaboración con los clubes vinculados a las actividades náuticas y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prestadoras</w:t>
      </w:r>
      <w:r>
        <w:rPr>
          <w:rFonts w:ascii="ArialMT" w:hAnsi="ArialMT" w:cs="ArialMT"/>
          <w:color w:val="333333"/>
          <w:sz w:val="18"/>
          <w:szCs w:val="18"/>
        </w:rPr>
        <w:t xml:space="preserve"> de servicios turísticos y de recreación habilitados según la normativa vigente.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Se pautarán senderos para la circulación peatonal en los sectores de bajos y de islas (ZUE-4 y 5) y en el sector de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barrancas (ZUE-2). Se acondicionarán y señalizarán convenientemente los senderos preexistentes.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Se dispondrán pasarelas y señalización en puntos panorámicos y de observación de la flora y la fauna.</w:t>
      </w:r>
    </w:p>
    <w:p w:rsidR="007A7688" w:rsidRDefault="007A7688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c- Zona de uso público extensivo especial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Acordar pautas de uso entre los propietarios y la Municipalidad, siempre que las mismas no se opongan a los objetivos de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conservación.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En los lugares concesionados dentro de esta zona con anterioridad a la promulgación de la presente, adecuar las actividades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a las pautas de conservación.</w:t>
      </w:r>
    </w:p>
    <w:p w:rsidR="007A7688" w:rsidRDefault="007A7688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d- Zona de uso público intensivo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Instalar infraestructura y servicios vinculados con la recreación (estacionamientos, centro de visitantes, sanitarios, puestos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de información, fogones, áreas de descanso, etc.), utilizando materiales y métodos constructivos acordes con el entorno del área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protegida.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Adecuar el manejo de los residuos, disponiendo lugares específicos para su disposición y concientizando sobre este tema a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los visitantes.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Permitir encender fuego solo en los lugares destinados a tal fin (fogones).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Permitir la circulación de vehículos solo a baja velocidad.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No se permite ninguna clase de actividad extractiva (ni suelo, ni flora ni fauna nativas).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Disponer pasarelas y señalizaciones en puntos panorámicos y de observación de la flora y la fauna.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Para el núcleo de uso intensivo demarcado en el extremo del Arenal, los límites y el lugar definitivo se debe determinar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anualmente en función de la dinámica y la altura del río.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Para la zona definida en el antiguo basural, cuidar el tipo y la escala de la infraestructura a instalar y las características de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las actividades recreativas a desarrollar.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Promover actividades en el espejo de agua de La Esmeralda que no generen un alto impacto en la conservación (utilización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de embarcaciones sin motor, avistaje</w:t>
      </w:r>
      <w:bookmarkStart w:id="0" w:name="_GoBack"/>
      <w:bookmarkEnd w:id="0"/>
      <w:r>
        <w:rPr>
          <w:rFonts w:ascii="ArialMT" w:hAnsi="ArialMT" w:cs="ArialMT"/>
          <w:color w:val="333333"/>
          <w:sz w:val="18"/>
          <w:szCs w:val="18"/>
        </w:rPr>
        <w:t xml:space="preserve"> de aves, etc.).</w:t>
      </w:r>
    </w:p>
    <w:p w:rsidR="007A7688" w:rsidRDefault="007A7688" w:rsidP="002715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e- Zona de recuperación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Controlar / eliminar las especies exóticas.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Retirar la basura existente haciendo una limpieza periódica de estos sectores.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Instalar infraestructura adecuada.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No se permite ninguna clase de actividad extractiva de suelo, flora o fauna nativas).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Considerar especialmente las lagunas Negra y Florida, y el sector de talares en buen estado de conservación ubicado en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ZR-2, para desarrollar tareas de educación ambiental y control de exóticas.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Realizar obras de infraestructura para mejorar la conexión entre las lagunas y el arroyo, manejando los niveles topográficos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e hidrométricos, de modo de mantener el ambiente deseado en las lagunas, en función de los resultados de los estudios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correspondientes.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f- Zona de amortiguación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Indicar al visitante con folletería, cartelería y la acción del personal del Parque, la diferencia de uso entre el Paseo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Costanero y el camino Costanero del Arroyo Yaguarón dentro del Parque.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En relación con la traza de la Costanera Superior y los barrios ubicados inmediatamente por sobre la barranca, trabajar en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forma conjunta con las vecinales para acordar las condiciones y actividades a desarrollar en los sectores comunes de cada barrio y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el Parque. Podrán instalarse miradores y/o senderos según la zonificación de manejo en el sector, y se deberán considerar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especialmente los sectores intangibles de la barranca y no habilitar usos o actividades impactantes en estos sectores de alto valor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ecológico.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Cuando se decida forestar, utilizar especies nativas propias de las ecoregiones locales, y en lo posible con germoplasma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(</w:t>
      </w:r>
      <w:r w:rsidR="007A7688">
        <w:rPr>
          <w:rFonts w:ascii="ArialMT" w:hAnsi="ArialMT" w:cs="ArialMT"/>
          <w:color w:val="333333"/>
          <w:sz w:val="18"/>
          <w:szCs w:val="18"/>
        </w:rPr>
        <w:t>semillas</w:t>
      </w:r>
      <w:r>
        <w:rPr>
          <w:rFonts w:ascii="ArialMT" w:hAnsi="ArialMT" w:cs="ArialMT"/>
          <w:color w:val="333333"/>
          <w:sz w:val="18"/>
          <w:szCs w:val="18"/>
        </w:rPr>
        <w:t>, gajos, esquejes, varas) de individuos del Parque o próximos al mismo.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Desarrollar tareas de monitoreo ambiental en el entorno del Parque Aguiar.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lastRenderedPageBreak/>
        <w:t>TÍTULO III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DE LA GESTIÓN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33333"/>
          <w:sz w:val="18"/>
          <w:szCs w:val="18"/>
        </w:rPr>
      </w:pPr>
    </w:p>
    <w:p w:rsidR="002715F2" w:rsidRPr="007A7688" w:rsidRDefault="002715F2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7A7688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Dependencia Funcional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ARTICULO 6º: </w:t>
      </w:r>
      <w:r>
        <w:rPr>
          <w:rFonts w:ascii="ArialMT" w:hAnsi="ArialMT" w:cs="ArialMT"/>
          <w:color w:val="333333"/>
          <w:sz w:val="18"/>
          <w:szCs w:val="18"/>
        </w:rPr>
        <w:t>El Parque Rafael de Aguiar como estructura administrativa estará afectado al Ente Mixto de Promoción Turística de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San Nicolás, organismo descentralizado de la administración municipal, que tendrá a su cargo el manejo operativo del Área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Protegida, como así también la ejecución de las partidas previstas en el Presupuesto General de la Municipalidad de San Nicolás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de los Arroyos. En un plazo de 90 días posteriores a la promulgación de la presente se deberá reglamentar un organigrama de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funciones operativas y profesionales afectado a la reserva, contemplando la posibilidad de incorporar personal voluntario.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7A7688" w:rsidRDefault="002715F2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7A7688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Espacio de Participación Comunitaria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ARTICULO 7º: </w:t>
      </w:r>
      <w:r>
        <w:rPr>
          <w:rFonts w:ascii="ArialMT" w:hAnsi="ArialMT" w:cs="ArialMT"/>
          <w:color w:val="333333"/>
          <w:sz w:val="18"/>
          <w:szCs w:val="18"/>
        </w:rPr>
        <w:t>El Parque Rafael de Aguiar tendrá como organismo asesor al Consejo de Representantes del Ente Mixto de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Promoción Turística (artículo 6º Ordenanza Nº6228), el cual para el tratamiento de temas vinculados al Área Protegida podrá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convocar además a los representantes de las comisiones vecinales lindantes, a la Sociedad de Arquitectos de San Nicolás, a la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Comisión de Preservación del Patrimonio Cultural Nicoleño (Ordenanza Nº5276), y a la dependencia municipal o institución que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considere necesario.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</w:p>
    <w:p w:rsidR="002715F2" w:rsidRPr="007A7688" w:rsidRDefault="002715F2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7A7688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Plan Anual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18"/>
          <w:szCs w:val="18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ARTICULO 8º: </w:t>
      </w:r>
      <w:r>
        <w:rPr>
          <w:rFonts w:ascii="ArialMT" w:hAnsi="ArialMT" w:cs="ArialMT"/>
          <w:color w:val="333333"/>
          <w:sz w:val="18"/>
          <w:szCs w:val="18"/>
        </w:rPr>
        <w:t>Anualmente, la dependencia del Departamento Ejecutivo Municipal a cargo de la gestión del área protegida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elaborará</w:t>
      </w:r>
      <w:r>
        <w:rPr>
          <w:rFonts w:ascii="ArialMT" w:hAnsi="ArialMT" w:cs="ArialMT"/>
          <w:color w:val="333333"/>
          <w:sz w:val="18"/>
          <w:szCs w:val="18"/>
        </w:rPr>
        <w:t xml:space="preserve"> un Plan Anual de Acciones en el cual se describirán las actividades a llevar adelante en el ejercicio fiscal, ordenadas</w:t>
      </w:r>
      <w:r w:rsidR="007A7688">
        <w:rPr>
          <w:rFonts w:ascii="ArialMT" w:hAnsi="ArialMT" w:cs="ArialMT"/>
          <w:color w:val="333333"/>
          <w:sz w:val="18"/>
          <w:szCs w:val="18"/>
        </w:rPr>
        <w:t xml:space="preserve"> </w:t>
      </w:r>
      <w:r>
        <w:rPr>
          <w:rFonts w:ascii="ArialMT" w:hAnsi="ArialMT" w:cs="ArialMT"/>
          <w:color w:val="333333"/>
          <w:sz w:val="18"/>
          <w:szCs w:val="18"/>
        </w:rPr>
        <w:t>según cinco programas organizadores, correspondientes a las áreas establecidas en el artículo 2º de la presente: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Programa de conservación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Programa de gestión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Programa de educación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Programa de investigación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- Programa de recreación y turismo</w:t>
      </w: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El Plan Anual será presentado al Honorable Concejo Deliberante antes del 31 de octubre de cada año para su conocimiento.</w:t>
      </w:r>
    </w:p>
    <w:p w:rsidR="007A7688" w:rsidRDefault="007A7688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2715F2" w:rsidRDefault="002715F2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  <w:r w:rsidRPr="007A7688"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  <w:t>Disposiciones complementarias</w:t>
      </w:r>
    </w:p>
    <w:p w:rsidR="007A7688" w:rsidRPr="007A7688" w:rsidRDefault="007A7688" w:rsidP="007A7688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333333"/>
          <w:sz w:val="18"/>
          <w:szCs w:val="18"/>
          <w:u w:val="single"/>
        </w:rPr>
      </w:pP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ARTICULO 9º</w:t>
      </w:r>
      <w:r>
        <w:rPr>
          <w:rFonts w:ascii="ArialMT" w:hAnsi="ArialMT" w:cs="ArialMT"/>
          <w:color w:val="333333"/>
          <w:sz w:val="18"/>
          <w:szCs w:val="18"/>
        </w:rPr>
        <w:t>: Derógase toda norma que se oponga a la presente, con la salvedad estipulada en el artículo 5º.</w:t>
      </w:r>
    </w:p>
    <w:p w:rsidR="002715F2" w:rsidRDefault="002715F2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  <w:r>
        <w:rPr>
          <w:rFonts w:ascii="ArialMT" w:hAnsi="ArialMT" w:cs="ArialMT"/>
          <w:color w:val="333333"/>
          <w:sz w:val="18"/>
          <w:szCs w:val="18"/>
        </w:rPr>
        <w:t>Sin otro particular, saludamos a Ud. muy atte.</w:t>
      </w:r>
    </w:p>
    <w:p w:rsidR="00A208C8" w:rsidRDefault="00A208C8" w:rsidP="002715F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18"/>
          <w:szCs w:val="18"/>
        </w:rPr>
      </w:pPr>
    </w:p>
    <w:p w:rsidR="00E06BAD" w:rsidRDefault="002715F2" w:rsidP="002715F2">
      <w:r>
        <w:rPr>
          <w:rFonts w:ascii="ArialMT" w:hAnsi="ArialMT" w:cs="ArialMT"/>
          <w:color w:val="333333"/>
          <w:sz w:val="18"/>
          <w:szCs w:val="18"/>
        </w:rPr>
        <w:t>PROMULGADA EL 19 DE JUNIO DE 2012</w:t>
      </w:r>
    </w:p>
    <w:sectPr w:rsidR="00E06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F2"/>
    <w:rsid w:val="002715F2"/>
    <w:rsid w:val="003C2850"/>
    <w:rsid w:val="007A7688"/>
    <w:rsid w:val="009B2B31"/>
    <w:rsid w:val="00A208C8"/>
    <w:rsid w:val="00E0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3CBA-9169-4E7F-A714-DA31A5B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1978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2020-10-23T13:33:00Z</dcterms:created>
  <dcterms:modified xsi:type="dcterms:W3CDTF">2020-10-23T21:38:00Z</dcterms:modified>
</cp:coreProperties>
</file>